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7B14" w14:textId="77777777" w:rsidR="005A043E" w:rsidRPr="005A043E" w:rsidRDefault="005A043E" w:rsidP="005A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8452760"/>
      <w:r w:rsidRPr="005A043E">
        <w:rPr>
          <w:rFonts w:ascii="Times New Roman" w:hAnsi="Times New Roman" w:cs="Times New Roman"/>
          <w:sz w:val="28"/>
          <w:szCs w:val="28"/>
        </w:rPr>
        <w:t xml:space="preserve">Критерии оценивания конкурсных материалов </w:t>
      </w:r>
      <w:bookmarkEnd w:id="0"/>
      <w:r w:rsidRPr="005A043E">
        <w:rPr>
          <w:rFonts w:ascii="Times New Roman" w:hAnsi="Times New Roman" w:cs="Times New Roman"/>
          <w:sz w:val="28"/>
          <w:szCs w:val="28"/>
        </w:rPr>
        <w:t>разработаны в соответствии с нормативными правовыми актами в сфере образования, действующими в настоящее время на территории Российской Федерации. При разработке критериев оценивания учтены основные требования, предъявляемые к компетенциям учителя русского языка современной школы.</w:t>
      </w:r>
    </w:p>
    <w:p w14:paraId="23016112" w14:textId="77777777" w:rsidR="005A043E" w:rsidRPr="005A043E" w:rsidRDefault="005A043E" w:rsidP="005A043E">
      <w:pPr>
        <w:rPr>
          <w:rFonts w:ascii="Times New Roman" w:hAnsi="Times New Roman" w:cs="Times New Roman"/>
          <w:sz w:val="28"/>
          <w:szCs w:val="28"/>
        </w:rPr>
      </w:pPr>
    </w:p>
    <w:p w14:paraId="2F46CD70" w14:textId="737BC27C" w:rsidR="00432DF5" w:rsidRPr="005A043E" w:rsidRDefault="005A043E" w:rsidP="005A0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43E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7115"/>
        <w:gridCol w:w="1471"/>
      </w:tblGrid>
      <w:tr w:rsidR="005A043E" w:rsidRPr="00AA7175" w14:paraId="55F5EEAD" w14:textId="77777777" w:rsidTr="005A043E">
        <w:trPr>
          <w:tblHeader/>
        </w:trPr>
        <w:tc>
          <w:tcPr>
            <w:tcW w:w="759" w:type="dxa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25C00CC" w14:textId="77777777" w:rsidR="005A043E" w:rsidRPr="00AA7175" w:rsidRDefault="005A043E" w:rsidP="0003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15" w:type="dxa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E978558" w14:textId="77777777" w:rsidR="005A043E" w:rsidRPr="00AA7175" w:rsidRDefault="005A043E" w:rsidP="0003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471" w:type="dxa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5E38F1C" w14:textId="77777777" w:rsidR="005A043E" w:rsidRPr="00AA7175" w:rsidRDefault="005A043E" w:rsidP="0003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5A043E" w:rsidRPr="00AA7175" w14:paraId="4CAC4EB5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6D243F4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B85D110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урока/внеурочного мероприятия заявленным теме, цели и планируемым результатам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7B24275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52D9FD62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0954452E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00EEBDDF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целесообразность построения урока/внеурочного мероприятия: логичность, последовательность, полнота реализации этапов урока, наличие необходимых структурных компонентов современного урока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61F6C46A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A043E" w:rsidRPr="00AA7175" w14:paraId="7D83A795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0FDA8CF8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5EBCF1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урока/внеурочного мероприятия образовательным задачам заявленного уровня образования, возрасту, возможностям и интересам обучающихся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38341E5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1B9FF859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3EC10494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DD96894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1CF">
              <w:rPr>
                <w:rFonts w:ascii="Times New Roman" w:hAnsi="Times New Roman" w:cs="Times New Roman"/>
                <w:sz w:val="28"/>
                <w:szCs w:val="28"/>
              </w:rPr>
              <w:t>Наличие необходимого и достаточного для достижения поставленных целей количества разнообразных заданий,</w:t>
            </w:r>
            <w:r w:rsidRPr="00DB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1CF">
              <w:rPr>
                <w:rFonts w:ascii="Times New Roman" w:hAnsi="Times New Roman" w:cs="Times New Roman"/>
                <w:sz w:val="28"/>
                <w:szCs w:val="28"/>
              </w:rPr>
              <w:t xml:space="preserve">методов и </w:t>
            </w:r>
            <w:proofErr w:type="spellStart"/>
            <w:r w:rsidRPr="002D31CF">
              <w:rPr>
                <w:rFonts w:ascii="Times New Roman" w:hAnsi="Times New Roman" w:cs="Times New Roman"/>
                <w:sz w:val="28"/>
                <w:szCs w:val="28"/>
              </w:rPr>
              <w:t>приемов</w:t>
            </w:r>
            <w:proofErr w:type="spellEnd"/>
            <w:r w:rsidRPr="002D31CF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 словарями 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88D9BD4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576E6326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63072A1F" w14:textId="77777777" w:rsidR="005A043E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E7E585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>Наличие системы работы по формированию лексикографических умений обучающихся, включенность урока/внеурочного мероприятия в эту систему (наличие собственных разработок: программы, учебно-методических материалов, дидактического обеспечения)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F5CD543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4A8D1F0E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40DE93BA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5D62821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урока/внеурочного мероприятия на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>обучающихся к работе со словарями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использованию словарей в решении учебных и практических задач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CE407E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6FF7D27B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22ED2A8A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F85AA6C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>Направленность на применение полученных знаний и умений для эффективного решения различных учебно-познавательных задач, в том числе в других предметных областях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5E7FD93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4BDBE7E7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1152AFF9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C359D87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активной и самостоятельной учебно-познавательной деятельности обучающихся при работе со словарями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FE9151E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34FE032E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4E5C781C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78B94A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Использование при организации словарной работы потенциала доступных культурно-образовательных ресурсов (привлечение организаций культуры и дополнительного образования, социальных </w:t>
            </w:r>
            <w:proofErr w:type="spellStart"/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партнеров</w:t>
            </w:r>
            <w:proofErr w:type="spellEnd"/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родителей и т.п.)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693408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4D71A867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0FCCC13F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D1E56F1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>Использование широкого спектра возможностей современных образовательных технологий (в том числе информационно-коммуникационных технологий)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FFA3936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418C26D0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C5664D1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96660E5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3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конкурсной работы</w:t>
            </w: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>: использование единого официально-делового стиля, отсутствие ошибок и опечаток, соблюдение требований ГОСТ при оформлении ссылок и библиографических списков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A00929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  <w:tr w:rsidR="005A043E" w:rsidRPr="00AA7175" w14:paraId="4A0FDDB0" w14:textId="77777777" w:rsidTr="005A043E">
        <w:tc>
          <w:tcPr>
            <w:tcW w:w="9345" w:type="dxa"/>
            <w:gridSpan w:val="3"/>
            <w:shd w:val="clear" w:color="auto" w:fill="E7E6E6" w:themeFill="background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38B9C6E4" w14:textId="77777777" w:rsidR="005A043E" w:rsidRPr="00AA7175" w:rsidRDefault="005A043E" w:rsidP="0003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Бонусные баллы</w:t>
            </w:r>
          </w:p>
        </w:tc>
      </w:tr>
      <w:tr w:rsidR="005A043E" w:rsidRPr="00AA7175" w14:paraId="74F0A9FB" w14:textId="77777777" w:rsidTr="005A043E">
        <w:tc>
          <w:tcPr>
            <w:tcW w:w="75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DB88001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1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A1382C1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43E">
              <w:rPr>
                <w:rFonts w:ascii="Times New Roman" w:hAnsi="Times New Roman" w:cs="Times New Roman"/>
                <w:sz w:val="28"/>
                <w:szCs w:val="28"/>
              </w:rPr>
              <w:t>Оригинальность, творческий характер конкурсных</w:t>
            </w:r>
            <w:r w:rsidRPr="00AA717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(в том числе приложения)</w:t>
            </w:r>
          </w:p>
        </w:tc>
        <w:tc>
          <w:tcPr>
            <w:tcW w:w="14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98BD82B" w14:textId="77777777" w:rsidR="005A043E" w:rsidRPr="00AA7175" w:rsidRDefault="005A043E" w:rsidP="0003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0–5</w:t>
            </w:r>
          </w:p>
        </w:tc>
      </w:tr>
    </w:tbl>
    <w:p w14:paraId="33555861" w14:textId="77777777" w:rsidR="005A043E" w:rsidRDefault="005A043E" w:rsidP="005A043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2958DC" w14:textId="02D7FEC4" w:rsidR="005A043E" w:rsidRPr="005A043E" w:rsidRDefault="005A043E" w:rsidP="005A043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баллов, которое может получить одна конкурсная работа, – 60.</w:t>
      </w:r>
    </w:p>
    <w:p w14:paraId="2D42E5EF" w14:textId="5018E6B9" w:rsidR="005A043E" w:rsidRPr="007519D4" w:rsidRDefault="005A043E" w:rsidP="005A043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материалов осуществляется в соответствии с </w:t>
      </w:r>
      <w:r w:rsidR="007E2D78"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в дистанционном режиме. </w:t>
      </w:r>
    </w:p>
    <w:p w14:paraId="6DE0FA7E" w14:textId="1869433A" w:rsidR="005A043E" w:rsidRDefault="005A043E" w:rsidP="00FD5F87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76" w:lineRule="auto"/>
        <w:ind w:firstLine="709"/>
        <w:jc w:val="both"/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конкурсная работа оценивается несколькими членами жюри (количество экспертиз для всех конкурсных работ определяется Оргкомитетом Конкурса)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оценка каждой конкурсной работы представляет собой среднее арифметическое оценок, выставленных членами жюри. Итоговые оценки жюри не пересматриваются и не оглашаются. </w:t>
      </w:r>
      <w:bookmarkStart w:id="1" w:name="_GoBack"/>
      <w:bookmarkEnd w:id="1"/>
    </w:p>
    <w:sectPr w:rsidR="005A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F5"/>
    <w:rsid w:val="001074CB"/>
    <w:rsid w:val="00432DF5"/>
    <w:rsid w:val="005A043E"/>
    <w:rsid w:val="007E2D78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D80A"/>
  <w15:chartTrackingRefBased/>
  <w15:docId w15:val="{B9E12E2F-3C35-4204-840E-0170FD8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PC1030</dc:creator>
  <cp:keywords/>
  <dc:description/>
  <cp:lastModifiedBy>PC1030</cp:lastModifiedBy>
  <cp:revision>4</cp:revision>
  <dcterms:created xsi:type="dcterms:W3CDTF">2023-08-31T12:39:00Z</dcterms:created>
  <dcterms:modified xsi:type="dcterms:W3CDTF">2024-08-05T11:50:00Z</dcterms:modified>
</cp:coreProperties>
</file>